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Candidate Stories &amp; Context</w:t>
      </w:r>
    </w:p>
    <w:p>
      <w:r>
        <w:t>Fictional benchmark reference material | Alex Morgan | v1.0 — October 2026</w:t>
      </w:r>
    </w:p>
    <w:p>
      <w:r>
        <w:t>PURPOSE: Upload as a knowledge/reference document (or answer bank where supported). It contains candidate-specific facts. It is not a list of generic interview answers. All products should receive identical content where supported.</w:t>
      </w:r>
    </w:p>
    <w:p>
      <w:pPr>
        <w:pStyle w:val="Heading2"/>
      </w:pPr>
      <w:r>
        <w:t>Story 1 — Disagreement with a product manager (Behavioral)</w:t>
      </w:r>
    </w:p>
    <w:p>
      <w:r>
        <w:t>Situation: At Northstar SaaS in 2024, the product manager wanted to replace a billing-processing workflow in one release before quarter-end. Alex was concerned about potential duplicate payments, charge failures, and rollback complexity.</w:t>
      </w:r>
    </w:p>
    <w:p>
      <w:r>
        <w:t>Alex’s proposal: Release behind feature flags, begin with 10% of eligible transactions, monitor failure rate and duplicate-charge alerts, then expand to 25%, 50%, and 100% over several days. Keep a tested rollback switch.</w:t>
      </w:r>
    </w:p>
    <w:p>
      <w:r>
        <w:t>Conflict and resolution: The PM initially argued that incremental rollout would delay a promised launch. Alex listened to the deadline concern, prepared a one-page risk matrix, demonstrated a rollback rehearsal, and proposed a shared go/no-go dashboard. The PM agreed to a phased launch without missing the external announcement.</w:t>
      </w:r>
    </w:p>
    <w:p>
      <w:r>
        <w:t>Result: No major outage. Billing failure rate declined from 2.0% to 1.3% (35% relative reduction). The team documented rollout and rollback criteria for later projects.</w:t>
      </w:r>
    </w:p>
    <w:p>
      <w:r>
        <w:t>If the plan had failed: Alex would stop ramp-up, revert via feature flag, investigate transaction logs, communicate clearly to PM/support, and propose a narrower cohort or a longer validation period. Alex would not conceal or invent an incident.</w:t>
      </w:r>
    </w:p>
    <w:p>
      <w:pPr>
        <w:pStyle w:val="Heading2"/>
      </w:pPr>
      <w:r>
        <w:t>Story 2 — React task-list bug (Technical context)</w:t>
      </w:r>
    </w:p>
    <w:p>
      <w:r>
        <w:t>At Helio Systems, a React admin UI rendered editable tasks with array index values as keys. Inserting a task at the beginning caused React to associate existing component instances and local input state with new rows, so typed text could appear under the wrong task.</w:t>
      </w:r>
    </w:p>
    <w:p>
      <w:r>
        <w:t>Fix: Assign each task a stable persistent ID at creation (for pre-existing imported rows, create an ID once at ingestion). Use task.id as the React key, store edits keyed by task ID, and use controlled inputs when appropriate. Do not generate a random key during rendering.</w:t>
      </w:r>
    </w:p>
    <w:p>
      <w:r>
        <w:t>Additional nuance: React keys identify elements among siblings for reconciliation. Updating the key scheme alone does not recover data already assigned to the wrong task. Before deploying the fix, preserve or reconcile draft input state using stable task identity and validate reorder/insert/delete cases.</w:t>
      </w:r>
    </w:p>
    <w:p>
      <w:pPr>
        <w:pStyle w:val="Heading2"/>
      </w:pPr>
      <w:r>
        <w:t>Story 3 — Large list performance (Supplemental)</w:t>
      </w:r>
    </w:p>
    <w:p>
      <w:r>
        <w:t>In a large React task list with approximately 10,000 rows, Alex used React Profiler and browser Performance tooling to identify excessive mounts and unnecessary rerenders. The team added windowing/virtualization, memoized selected row components after profiling, and avoided replacing every row object on minor edits. The result was a 45% reduction in slow interactions on their test devices.</w:t>
      </w:r>
    </w:p>
    <w:p>
      <w:pPr>
        <w:pStyle w:val="Heading2"/>
      </w:pPr>
      <w:r>
        <w:t>Facts vs unknowns</w:t>
      </w:r>
    </w:p>
    <w:p>
      <w:r>
        <w:t>Known: Alex has React/Node.js experience; led 4 developers; used progressive billing rollout; worked on a React list-key bug.</w:t>
      </w:r>
    </w:p>
    <w:p>
      <w:r>
        <w:t>Unknown: exact salary, employer contacts, other programming languages beyond the profile, unlisted certifications, security clearance, names of colleagues. AI should acknowledge missing information rather than invent it.</w:t>
      </w:r>
    </w:p>
    <w:sectPr w:rsidR="00FC693F" w:rsidRPr="0006063C" w:rsidSect="00034616">
      <w:pgSz w:w="12240" w:h="15840"/>
      <w:pgMar w:top="1440" w:right="1800" w:bottom="1440"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831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